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Dohoda o podpoře kandidáta ve volbách do Senátu v říjnu 2018</w:t>
      </w:r>
    </w:p>
    <w:p w:rsidR="00000000" w:rsidDel="00000000" w:rsidP="00000000" w:rsidRDefault="00000000" w:rsidRPr="00000000" w14:paraId="00000001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 senátním obvodě č. 44 - Chrudim</w:t>
      </w:r>
    </w:p>
    <w:p w:rsidR="00000000" w:rsidDel="00000000" w:rsidP="00000000" w:rsidRDefault="00000000" w:rsidRPr="00000000" w14:paraId="00000002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Ing. Roman Šemík</w:t>
      </w:r>
    </w:p>
    <w:p w:rsidR="00000000" w:rsidDel="00000000" w:rsidP="00000000" w:rsidRDefault="00000000" w:rsidRPr="00000000" w14:paraId="00000004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narozen 14. 1. 1962</w:t>
      </w:r>
    </w:p>
    <w:p w:rsidR="00000000" w:rsidDel="00000000" w:rsidP="00000000" w:rsidRDefault="00000000" w:rsidRPr="00000000" w14:paraId="00000005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trvale bytem Schoellerova 936, Praha Čakovice, 19600</w:t>
      </w:r>
    </w:p>
    <w:p w:rsidR="00000000" w:rsidDel="00000000" w:rsidP="00000000" w:rsidRDefault="00000000" w:rsidRPr="00000000" w14:paraId="00000006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(dále jen „kandidát“)</w:t>
      </w:r>
    </w:p>
    <w:p w:rsidR="00000000" w:rsidDel="00000000" w:rsidP="00000000" w:rsidRDefault="00000000" w:rsidRPr="00000000" w14:paraId="00000007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</w:t>
      </w:r>
    </w:p>
    <w:p w:rsidR="00000000" w:rsidDel="00000000" w:rsidP="00000000" w:rsidRDefault="00000000" w:rsidRPr="00000000" w14:paraId="00000009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Česká pirátská strana </w:t>
      </w:r>
    </w:p>
    <w:p w:rsidR="00000000" w:rsidDel="00000000" w:rsidP="00000000" w:rsidRDefault="00000000" w:rsidRPr="00000000" w14:paraId="0000000B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IČ 71339698</w:t>
      </w:r>
    </w:p>
    <w:p w:rsidR="00000000" w:rsidDel="00000000" w:rsidP="00000000" w:rsidRDefault="00000000" w:rsidRPr="00000000" w14:paraId="0000000C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sídlem Řehořova 943/19, 130 00 Praha 3</w:t>
      </w:r>
    </w:p>
    <w:p w:rsidR="00000000" w:rsidDel="00000000" w:rsidP="00000000" w:rsidRDefault="00000000" w:rsidRPr="00000000" w14:paraId="0000000D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zastoupený PhDr. Ivanem Bartošem, Ph.D. (předseda strany)</w:t>
      </w:r>
    </w:p>
    <w:p w:rsidR="00000000" w:rsidDel="00000000" w:rsidP="00000000" w:rsidRDefault="00000000" w:rsidRPr="00000000" w14:paraId="0000000E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(dále jen „Piráti“)</w:t>
      </w:r>
    </w:p>
    <w:p w:rsidR="00000000" w:rsidDel="00000000" w:rsidP="00000000" w:rsidRDefault="00000000" w:rsidRPr="00000000" w14:paraId="0000000F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</w:t>
      </w:r>
    </w:p>
    <w:p w:rsidR="00000000" w:rsidDel="00000000" w:rsidP="00000000" w:rsidRDefault="00000000" w:rsidRPr="00000000" w14:paraId="00000011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985"/>
        </w:tabs>
        <w:contextualSpacing w:val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Politické hnutí SENÁTOR 21</w:t>
      </w:r>
    </w:p>
    <w:p w:rsidR="00000000" w:rsidDel="00000000" w:rsidP="00000000" w:rsidRDefault="00000000" w:rsidRPr="00000000" w14:paraId="00000013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IČ 06695205</w:t>
      </w:r>
    </w:p>
    <w:p w:rsidR="00000000" w:rsidDel="00000000" w:rsidP="00000000" w:rsidRDefault="00000000" w:rsidRPr="00000000" w14:paraId="00000014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sídlem Štefánikova 65, Praha 5, 15000</w:t>
      </w:r>
    </w:p>
    <w:p w:rsidR="00000000" w:rsidDel="00000000" w:rsidP="00000000" w:rsidRDefault="00000000" w:rsidRPr="00000000" w14:paraId="00000015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zastoupená Mgr. Václavem Láskou (předseda hnutí)</w:t>
      </w:r>
    </w:p>
    <w:p w:rsidR="00000000" w:rsidDel="00000000" w:rsidP="00000000" w:rsidRDefault="00000000" w:rsidRPr="00000000" w14:paraId="00000016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(dále jen „SEN 21“)</w:t>
      </w:r>
    </w:p>
    <w:p w:rsidR="00000000" w:rsidDel="00000000" w:rsidP="00000000" w:rsidRDefault="00000000" w:rsidRPr="00000000" w14:paraId="00000017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(dále společně uváděny jen jako „strany“)</w:t>
      </w:r>
    </w:p>
    <w:p w:rsidR="00000000" w:rsidDel="00000000" w:rsidP="00000000" w:rsidRDefault="00000000" w:rsidRPr="00000000" w14:paraId="00000019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uzavřeli níže uvedeného dne a roku následující dohodu:</w:t>
      </w:r>
    </w:p>
    <w:p w:rsidR="00000000" w:rsidDel="00000000" w:rsidP="00000000" w:rsidRDefault="00000000" w:rsidRPr="00000000" w14:paraId="0000001B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I.</w:t>
      </w:r>
    </w:p>
    <w:p w:rsidR="00000000" w:rsidDel="00000000" w:rsidP="00000000" w:rsidRDefault="00000000" w:rsidRPr="00000000" w14:paraId="0000001D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Předmět dohody</w:t>
      </w:r>
    </w:p>
    <w:p w:rsidR="00000000" w:rsidDel="00000000" w:rsidP="00000000" w:rsidRDefault="00000000" w:rsidRPr="00000000" w14:paraId="0000001E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Předmětem této dohody je podpora kandidáta Pirátů v senátní kampani v obvodu č. 44 v roce 2018 (dále jen „kampaň). </w:t>
      </w:r>
    </w:p>
    <w:p w:rsidR="00000000" w:rsidDel="00000000" w:rsidP="00000000" w:rsidRDefault="00000000" w:rsidRPr="00000000" w14:paraId="0000001F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II.</w:t>
      </w:r>
    </w:p>
    <w:p w:rsidR="00000000" w:rsidDel="00000000" w:rsidP="00000000" w:rsidRDefault="00000000" w:rsidRPr="00000000" w14:paraId="00000023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Úvodní ustanovení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Strany se zavazují všemi jim dostupnými prostředky podporovat kandidaturu kandidáta, aktivně se účastnit kampaně a podpořit jeho kampaň finančně dle ustanovení bodu III.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Kandidát bude do senátních voleb vstupovat jako kandidát Pirátů s podporou SENÁTOR 21. Nominujícím subjektem jsou Piráti. </w:t>
      </w:r>
    </w:p>
    <w:p w:rsidR="00000000" w:rsidDel="00000000" w:rsidP="00000000" w:rsidRDefault="00000000" w:rsidRPr="00000000" w14:paraId="00000026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III.</w:t>
      </w:r>
    </w:p>
    <w:p w:rsidR="00000000" w:rsidDel="00000000" w:rsidP="00000000" w:rsidRDefault="00000000" w:rsidRPr="00000000" w14:paraId="00000028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Financování kampaně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Strany se dohodli na následujících finančních příspěvcích na kampaň</w:t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tabs>
          <w:tab w:val="left" w:pos="993"/>
        </w:tabs>
        <w:ind w:left="288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Kandidát 54000,- Kč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tabs>
          <w:tab w:val="left" w:pos="993"/>
        </w:tabs>
        <w:ind w:left="288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Piráti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140000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,- Kč</w:t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tabs>
          <w:tab w:val="left" w:pos="993"/>
        </w:tabs>
        <w:ind w:left="288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 21 0,- Kč.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Uvedené částky budou k dispozici na transparentním volebním účtu kandidáta do 30. 6. 2018. Piráti informují kandidáta o tom, že jsou k dispozici podle plánu kampaně schváleného volebním štábem jednomyslně.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 účely kampaně bude zaveden transparentní účet č. 2201172780/2010 zavedený na jméno kandidáta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u Pirátů, kteří nahlásí volební účet ÚDHPSH.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Případné nevyčerpané prostředky na volebním účtu budou kandidátovi a Pirátům vráceny poměrně dle vkladu.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Finanční prostředky ze státního rozpočtu v případě úspěchu ve volbách a získání mandátu senátora pro kandidáta budou nejprve využity k uhrazení nákladů kampaně, které vynaložila každá ze stran. Následně budou rozděleny na třetiny rovným dílem mezi krajský rozpočet Pirátů v kraji Vysočina, v Pardubickém kraji a centrální rozpočet Pirátů.  </w:t>
      </w:r>
    </w:p>
    <w:p w:rsidR="00000000" w:rsidDel="00000000" w:rsidP="00000000" w:rsidRDefault="00000000" w:rsidRPr="00000000" w14:paraId="00000031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IV.</w:t>
      </w:r>
    </w:p>
    <w:p w:rsidR="00000000" w:rsidDel="00000000" w:rsidP="00000000" w:rsidRDefault="00000000" w:rsidRPr="00000000" w14:paraId="00000033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Spolupracující subjekty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Podpora kandidáta v obou kolech volby je otevřena i dalším politickým subjektům. Podpora kandidáta od dalších subjektů musí být dopředu schválena krajským předsednictvem Pirátů v kraji Vysočina a v Pardubickém kraji.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Podporující subjekt kandidatury může být uveden na propagačním předmětech kampaně.</w:t>
      </w:r>
    </w:p>
    <w:p w:rsidR="00000000" w:rsidDel="00000000" w:rsidP="00000000" w:rsidRDefault="00000000" w:rsidRPr="00000000" w14:paraId="00000036">
      <w:pPr>
        <w:tabs>
          <w:tab w:val="left" w:pos="993"/>
        </w:tabs>
        <w:ind w:left="993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V.</w:t>
      </w:r>
    </w:p>
    <w:p w:rsidR="00000000" w:rsidDel="00000000" w:rsidP="00000000" w:rsidRDefault="00000000" w:rsidRPr="00000000" w14:paraId="00000039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Volební program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Volební program kandidáta bude formulován nejpozději do 30. 6. 2018 v samostatném dokumentu, který bude schválen krajským předsednictvem Pirátů v kraji Vysočina a v Pardubickém kraji.</w:t>
      </w:r>
    </w:p>
    <w:p w:rsidR="00000000" w:rsidDel="00000000" w:rsidP="00000000" w:rsidRDefault="00000000" w:rsidRPr="00000000" w14:paraId="0000003B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VI.</w:t>
      </w:r>
    </w:p>
    <w:p w:rsidR="00000000" w:rsidDel="00000000" w:rsidP="00000000" w:rsidRDefault="00000000" w:rsidRPr="00000000" w14:paraId="0000003D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Senátorský klub a práce v Senátu </w:t>
      </w:r>
    </w:p>
    <w:p w:rsidR="00000000" w:rsidDel="00000000" w:rsidP="00000000" w:rsidRDefault="00000000" w:rsidRPr="00000000" w14:paraId="0000003E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  <w:t xml:space="preserve">V případě zvolení kandidát prohlašuje, že 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tabs>
          <w:tab w:val="left" w:pos="1985"/>
        </w:tabs>
        <w:ind w:left="720" w:hanging="360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zavazuje přednostně ke členství ve společném senátním klubu SEN 21 a Pirátů. Pokud však takový klub z důvodů nezaviněných kandidátem nevznikne, zavazuje se vstoupit do senátního klubu v pořadí – 1. senátní klub Pirátů, 2. senátní klub SENÁTOR 21;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tabs>
          <w:tab w:val="left" w:pos="1985"/>
        </w:tabs>
        <w:ind w:left="737" w:hanging="360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vstup kandidáta do jiného senátorského klubu bude podmíněn souhlasem Pirátů;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tabs>
          <w:tab w:val="left" w:pos="1985"/>
        </w:tabs>
        <w:ind w:left="737" w:hanging="360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povede pravidelné konzultace s Piráty ohledně programových otázek, a to aspoň jednou měsíčně po celé volební období; 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tabs>
          <w:tab w:val="left" w:pos="1985"/>
        </w:tabs>
        <w:ind w:left="737" w:hanging="360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bude řídit Demokratickým minimem Pirátské strany a kodexem SENÁTOR 21, který stanoví základní hodnotovou orientaci kandidáta a minimální standard výkonu funkce senátora; 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tabs>
          <w:tab w:val="left" w:pos="1985"/>
        </w:tabs>
        <w:ind w:left="737" w:hanging="360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vyhradí částku minimálně 5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000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,- Kč ze svého ročního expertovného na platbu expertů nominovaných Piráty.</w:t>
      </w:r>
    </w:p>
    <w:p w:rsidR="00000000" w:rsidDel="00000000" w:rsidP="00000000" w:rsidRDefault="00000000" w:rsidRPr="00000000" w14:paraId="00000044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rtl w:val="0"/>
        </w:rPr>
        <w:t xml:space="preserve">VII.</w:t>
      </w:r>
    </w:p>
    <w:p w:rsidR="00000000" w:rsidDel="00000000" w:rsidP="00000000" w:rsidRDefault="00000000" w:rsidRPr="00000000" w14:paraId="00000046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rtl w:val="0"/>
        </w:rPr>
        <w:t xml:space="preserve">Okrskové volební komise</w:t>
      </w:r>
    </w:p>
    <w:p w:rsidR="00000000" w:rsidDel="00000000" w:rsidP="00000000" w:rsidRDefault="00000000" w:rsidRPr="00000000" w14:paraId="00000047">
      <w:pPr>
        <w:tabs>
          <w:tab w:val="left" w:pos="1985"/>
        </w:tabs>
        <w:contextualSpacing w:val="0"/>
        <w:rPr>
          <w:rFonts w:ascii="Arial" w:cs="Arial" w:eastAsia="Arial" w:hAnsi="Arial"/>
          <w:color w:val="00000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Piráti zajistí delegování do OVK. </w:t>
      </w:r>
    </w:p>
    <w:p w:rsidR="00000000" w:rsidDel="00000000" w:rsidP="00000000" w:rsidRDefault="00000000" w:rsidRPr="00000000" w14:paraId="00000048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rtl w:val="0"/>
        </w:rPr>
        <w:t xml:space="preserve">VIII.</w:t>
      </w:r>
    </w:p>
    <w:p w:rsidR="00000000" w:rsidDel="00000000" w:rsidP="00000000" w:rsidRDefault="00000000" w:rsidRPr="00000000" w14:paraId="0000004B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b w:val="1"/>
          <w:color w:val="00000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rtl w:val="0"/>
        </w:rPr>
        <w:t xml:space="preserve">Závěrečná ustanovení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Tato dohoda může být měněna pouze datovanými písemnými dodatky na základě shody všech smluvních stran. 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V případě, že se kterékoliv ustanovení této dohody stane neplatným či nevymahatelným, veškerá další ustanovení dohody zůstávají v platnosti, pakliže to jejich povaha umožňuje.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Tato dohoda nabývá platnosti a účinnosti dnem podpisu stranami.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Tato smlouva vstupuje v účinnost  podpisem zástupců smluvních stran.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Platnost této dohody zaniká zánikem mandátu či uplynutím volebního období kandidáta v případě jeho zvolení, nebo okamžikem, kdy kandidát nebyl zvolen.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Tato dohoda je vypracována ve třech vyhotoveních, z nichž po jednom obdrží každá ze stran.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tabs>
          <w:tab w:val="left" w:pos="993"/>
        </w:tabs>
        <w:ind w:left="993" w:hanging="993"/>
        <w:contextualSpacing w:val="0"/>
        <w:rPr>
          <w:rFonts w:ascii="Arial" w:cs="Arial" w:eastAsia="Arial" w:hAnsi="Arial"/>
          <w:color w:val="00000a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Strany dohody výslovně prohlašují, že tato dohoda je výrazem jejich svobodné a vážné vůle a na důkaz toho připojují svoje podpisy. </w:t>
      </w:r>
    </w:p>
    <w:p w:rsidR="00000000" w:rsidDel="00000000" w:rsidP="00000000" w:rsidRDefault="00000000" w:rsidRPr="00000000" w14:paraId="00000053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 Praze dne 17. 6.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</w:t>
        <w:tab/>
        <w:tab/>
        <w:tab/>
        <w:tab/>
        <w:t xml:space="preserve">__________________________</w:t>
      </w:r>
    </w:p>
    <w:p w:rsidR="00000000" w:rsidDel="00000000" w:rsidP="00000000" w:rsidRDefault="00000000" w:rsidRPr="00000000" w14:paraId="0000005B">
      <w:pPr>
        <w:tabs>
          <w:tab w:val="left" w:pos="1985"/>
        </w:tabs>
        <w:ind w:left="1512" w:hanging="791.9999999999999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Ivan Bartoš, Piráti</w:t>
        <w:tab/>
        <w:tab/>
        <w:tab/>
        <w:tab/>
        <w:tab/>
        <w:tab/>
        <w:tab/>
        <w:t xml:space="preserve">Václav Láska, SEN 21</w:t>
      </w:r>
    </w:p>
    <w:p w:rsidR="00000000" w:rsidDel="00000000" w:rsidP="00000000" w:rsidRDefault="00000000" w:rsidRPr="00000000" w14:paraId="0000005C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1985"/>
        </w:tabs>
        <w:contextualSpacing w:val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</w:t>
      </w:r>
    </w:p>
    <w:p w:rsidR="00000000" w:rsidDel="00000000" w:rsidP="00000000" w:rsidRDefault="00000000" w:rsidRPr="00000000" w14:paraId="00000060">
      <w:pPr>
        <w:tabs>
          <w:tab w:val="left" w:pos="1985"/>
        </w:tabs>
        <w:ind w:left="2232" w:hanging="791.9999999999999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ab/>
        <w:tab/>
        <w:tab/>
        <w:t xml:space="preserve">Roman Šemík, kandidát</w:t>
      </w:r>
    </w:p>
    <w:p w:rsidR="00000000" w:rsidDel="00000000" w:rsidP="00000000" w:rsidRDefault="00000000" w:rsidRPr="00000000" w14:paraId="00000061">
      <w:pPr>
        <w:tabs>
          <w:tab w:val="left" w:pos="1985"/>
        </w:tabs>
        <w:ind w:left="792"/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pos="1985"/>
        </w:tabs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851" w:top="1417" w:left="993" w:right="991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tabs>
        <w:tab w:val="center" w:pos="4536"/>
        <w:tab w:val="right" w:pos="9072"/>
      </w:tabs>
      <w:contextualSpacing w:val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tabs>
        <w:tab w:val="center" w:pos="4536"/>
        <w:tab w:val="right" w:pos="9072"/>
      </w:tabs>
      <w:spacing w:after="708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tabs>
        <w:tab w:val="center" w:pos="4536"/>
        <w:tab w:val="right" w:pos="9072"/>
      </w:tabs>
      <w:spacing w:before="708" w:lineRule="auto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440" w:hanging="360"/>
      </w:pPr>
      <w:rPr/>
    </w:lvl>
    <w:lvl w:ilvl="3">
      <w:start w:val="1"/>
      <w:numFmt w:val="decimal"/>
      <w:lvlText w:val="%4."/>
      <w:lvlJc w:val="left"/>
      <w:pPr>
        <w:ind w:left="1800" w:hanging="360"/>
      </w:pPr>
      <w:rPr/>
    </w:lvl>
    <w:lvl w:ilvl="4">
      <w:start w:val="1"/>
      <w:numFmt w:val="decimal"/>
      <w:lvlText w:val="%5."/>
      <w:lvlJc w:val="left"/>
      <w:pPr>
        <w:ind w:left="2160" w:hanging="360"/>
      </w:pPr>
      <w:rPr/>
    </w:lvl>
    <w:lvl w:ilvl="5">
      <w:start w:val="1"/>
      <w:numFmt w:val="decimal"/>
      <w:lvlText w:val="%6."/>
      <w:lvlJc w:val="left"/>
      <w:pPr>
        <w:ind w:left="2520" w:hanging="360"/>
      </w:pPr>
      <w:rPr/>
    </w:lvl>
    <w:lvl w:ilvl="6">
      <w:start w:val="1"/>
      <w:numFmt w:val="decimal"/>
      <w:lvlText w:val="%7."/>
      <w:lvlJc w:val="left"/>
      <w:pPr>
        <w:ind w:left="2880" w:hanging="360"/>
      </w:pPr>
      <w:rPr/>
    </w:lvl>
    <w:lvl w:ilvl="7">
      <w:start w:val="1"/>
      <w:numFmt w:val="decimal"/>
      <w:lvlText w:val="%8."/>
      <w:lvlJc w:val="left"/>
      <w:pPr>
        <w:ind w:left="3240" w:hanging="360"/>
      </w:pPr>
      <w:rPr/>
    </w:lvl>
    <w:lvl w:ilvl="8">
      <w:start w:val="1"/>
      <w:numFmt w:val="decimal"/>
      <w:lvlText w:val="%9."/>
      <w:lvlJc w:val="left"/>
      <w:pPr>
        <w:ind w:left="3600" w:hanging="360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6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abstractNum w:abstractNumId="7">
    <w:lvl w:ilvl="0">
      <w:start w:val="1"/>
      <w:numFmt w:val="lowerLetter"/>
      <w:lvlText w:val="%1)"/>
      <w:lvlJc w:val="left"/>
      <w:pPr>
        <w:ind w:left="2160" w:firstLine="0"/>
      </w:pPr>
      <w:rPr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sz w:val="24"/>
        <w:szCs w:val="24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>
        <w:keepNext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